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102 III 109</w:t>
      </w:r>
    </w:p>
    <w:p>
      <w:r>
        <w:t>Bundesgericht (BGE), 1976-01-21, DE</w:t>
      </w:r>
    </w:p>
    <w:p>
      <w:r>
        <w:rPr>
          <w:b/>
        </w:rPr>
        <w:t xml:space="preserve">Quelle: </w:t>
      </w:r>
      <w:r>
        <w:t>https://mcp.opencaselaw.ch/entscheid/bge_102 III 109</w:t>
      </w:r>
    </w:p>
    <w:p>
      <w:r>
        <w:t>FR: ATF 102 III 109</w:t>
      </w:r>
    </w:p>
    <w:p>
      <w:r>
        <w:t>IT: DTF 102 III 109</w:t>
      </w:r>
    </w:p>
    <w:p>
      <w:pPr>
        <w:pStyle w:val="Heading2"/>
      </w:pPr>
      <w:r>
        <w:t>Regeste</w:t>
      </w:r>
    </w:p>
    <w:p>
      <w:r>
        <w:t>Regeste Betreibungshandlungen während der Nachlassstundung (Art. 297 SchKG). 1. Während der Dauer der Nachlassstundung darf eine Betreibung auf Faustpfandverwertung nicht fortgesetzt werden (Erw. 1). 2. Werden in einer Betreibung für Mietzinsforderungen die auf Begehren des Vermieters retinierten Gegenstände während der Stundung durch ein Bardepot ersetzt, so darf dieses Depot dem betreibenden Vermieter einstweilen nicht ausbezahlt werden (Erw. 2).</w:t>
      </w:r>
    </w:p>
    <w:p>
      <w:pPr>
        <w:pStyle w:val="Heading2"/>
      </w:pPr>
      <w:r>
        <w:t>Erwägungen</w:t>
      </w:r>
    </w:p>
    <w:p>
      <w:r>
        <w:rPr>
          <w:b/>
        </w:rPr>
        <w:t>E. 1</w:t>
      </w:r>
    </w:p>
    <w:p>
      <w:r>
        <w:t>Der Rekurrent macht vor allem geltend, entgegen der Ansicht der Vorinstanz könne eine Betreibung auf Faustpfandverwertung während der Nachlassstundung fortgesetzt werden. Das Betreibungsamt dürfe daher die Verteilung des deponierten Betrages nicht verweigern. Diese Auffassung widerspricht indessen dem klaren Wortlaut von Art. 297 SchKG . Gemäss Abs. 1 dieser Bestimmung kann während der Nachlassstundung gegen den Schuldner eine Betreibung weder angehoben noch fortgesetzt werden. Grundsätzlich ist demnach während der Stundung jede Betreibungshandlung verboten (vgl. auch Art. 56 Ziff. 4 SchKG ). Der erst anlässlich der Revision von 1949 ins Gesetz aufgenommene Art. 297 Abs. 2 SchKG enthält die Ausnahmen von diesem Grundsatz. Danach ist auch während der Stundung die Betreibung auf Pfandverwertung für grundpfändlich gesicherte Forderungen zulässig. Die Betreibung auf Faustpfandverwertung wird dagegen in der Ausnahmebestimmung nicht erwähnt und füllt daher unter das Verbot von Abs. 1. Diese unterschiedliche Behandlung von Grund- und Faustpfandforderungen lässt sich dadurch rechtfertigen, dass es den Grundpfandgläubigern gestattet sein muss, auch während der Stundung die Ausdehnung der Pfandhaft auf die Miet- und Pachtzinsforderungen ( Art. 806 ZGB ) zu erreichen. Angesichts der langen Verwertungsfristen bei der Betreibung auf Grundpfandverwertung erscheint es zudem als sinnvoll, dass die Gläubiger durch die Stundung nicht daran gehindert werden, die spätere Verwertung der Pfandliegenschaft durch das Betreibungsamt in die Wege zu leiten ( BGE 84 III 111 ). Dieser Gesichtspunkt spielt bei der Faustpfandbetreibung nicht die gleiche Rolle.</w:t>
      </w:r>
    </w:p>
    <w:p>
      <w:r>
        <w:rPr>
          <w:b/>
        </w:rPr>
        <w:t>E. 2</w:t>
      </w:r>
    </w:p>
    <w:p>
      <w:r>
        <w:t>In zweiter Linie bringt der Rekurrent vor, die Verteilung des an die Stelle der retinierten Gegenstände getretenen Bardepots sei keine durch Art. 297 SchKG verbotene Betreibungshandlung. BGE 102 III 109 S. 112 wie es sich damit verhält, kann indessen offen bleiben. Denn dieses Depot wurde erst am 9. Oktober 1975, also nach Bewilligung der Nachlassstundung, geleistet. Im Zeitpunkt der Stundungsbewilligung war demnach die Retentionsbetreibung noch nicht so weit gefördert, dass sie im Sinne von BGE 83 III 135 ff. ohne weitere Förmlichkeit durch Ausbezahlung der an die Stelle der retinierten Gegenstände getretenen Summe hätte beendet werden können. War aber in jenem Zeitpunkt die Verwertung noch nicht durchgeführt bzw. das Depot noch nicht geleistet, so durfte die Betreibung auf jeden Fall nicht fortgesetzt werden. Die spätere Ersetzung der retinierten Gegenstände durch einen Barbetrag ändert daran nichts. Dispositiv Demnach erkennt die Schuldbetreibungs- und Konkurskammer: Der Rekurs wird abgewiesen.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